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ackground w:color="FFFFFF"/>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tbl>
      <w:tblPr>
        <w:tblW w:w="0" w:type="auto"/>
        <w:jc w:val="lef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2280"/>
        <w:gridCol w:w="6760"/>
      </w:tblGrid>
      <w:tr>
        <w:trPr>
          <w:trHeight w:val="293" w:hRule="atLeast"/>
        </w:trPr>
        <w:tc>
          <w:tcPr>
            <w:tcW w:w="2280" w:type="dxa"/>
            <w:shd w:val="clear" w:color="auto" w:fill="001930"/>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Function</w:t>
            </w:r>
          </w:p>
        </w:tc>
        <w:tc>
          <w:tcPr>
            <w:tcW w:w="6760" w:type="dxa"/>
            <w:shd w:val="clear" w:color="auto" w:fill="auto"/>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Commercial</w:t>
            </w:r>
          </w:p>
        </w:tc>
      </w:tr>
      <w:tr>
        <w:trPr>
          <w:trHeight w:val="273" w:hRule="atLeast"/>
        </w:trPr>
        <w:tc>
          <w:tcPr>
            <w:tcW w:w="2280" w:type="dxa"/>
            <w:tcBorders>
              <w:bottom w:val="single" w:sz="4" w:space="0" w:color="auto"/>
            </w:tcBorders>
            <w:shd w:val="clear" w:color="auto" w:fill="001930"/>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Job Title</w:t>
            </w:r>
          </w:p>
        </w:tc>
        <w:tc>
          <w:tcPr>
            <w:tcW w:w="6760" w:type="dxa"/>
            <w:tcBorders>
              <w:bottom w:val="single" w:sz="4" w:space="0" w:color="auto"/>
            </w:tcBorders>
            <w:shd w:val="clear" w:color="auto" w:fill="auto"/>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8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Senior Estimator</w:t>
            </w:r>
          </w:p>
        </w:tc>
      </w:tr>
    </w:tbl>
    <w:tbl>
      <w:tblPr>
        <w:tblW w:w="0" w:type="auto"/>
        <w:jc w:val="left"/>
        <w:tblInd w:w="5"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 w:type="dxa"/>
          <w:bottom w:w="0" w:type="dxa"/>
          <w:right w:w="0" w:type="dxa"/>
        </w:tblCellMar>
      </w:tblPr>
      <w:tblGrid>
        <w:gridCol w:w="2280"/>
        <w:gridCol w:w="1840"/>
        <w:gridCol w:w="4920"/>
      </w:tblGrid>
      <w:tr>
        <w:trPr>
          <w:trHeight w:val="275" w:hRule="atLeast"/>
        </w:trPr>
        <w:tc>
          <w:tcPr>
            <w:tcW w:w="2280" w:type="dxa"/>
            <w:tcBorders>
              <w:top w:val="single" w:sz="4" w:space="0" w:color="auto"/>
            </w:tcBorders>
            <w:shd w:val="clear" w:color="auto" w:fill="001930"/>
            <w:tcMar>
              <w:right w:w="10" w:type="dxa"/>
            </w:tcMar>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Grade</w:t>
            </w:r>
          </w:p>
        </w:tc>
        <w:tc>
          <w:tcPr>
            <w:tcW w:w="1840" w:type="dxa"/>
            <w:tcBorders>
              <w:top w:val="single" w:sz="4" w:space="0" w:color="auto"/>
              <w:bottom w:val="single" w:sz="4" w:space="0" w:color="auto"/>
              <w:right w:val="nil"/>
            </w:tcBorders>
            <w:shd w:val="clear" w:color="auto" w:fill="auto"/>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8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M2</w:t>
            </w:r>
          </w:p>
        </w:tc>
        <w:tc>
          <w:tcPr>
            <w:tcW w:w="4920" w:type="dxa"/>
            <w:tcBorders>
              <w:top w:val="single" w:sz="4" w:space="0" w:color="auto"/>
              <w:left w:val="nil"/>
              <w:bottom w:val="single" w:sz="4" w:space="0" w:color="auto"/>
            </w:tcBorders>
            <w:shd w:val="clear" w:color="auto" w:fill="auto"/>
            <w:tcMar>
              <w:left w:w="0" w:type="dxa"/>
              <w:right w:w="10" w:type="dxa"/>
            </w:tcMar>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rPr>
          <w:trHeight w:val="242" w:hRule="atLeast"/>
        </w:trPr>
        <w:tc>
          <w:tcPr>
            <w:tcW w:w="2280" w:type="dxa"/>
            <w:tcBorders>
              <w:right w:val="nil"/>
            </w:tcBorders>
            <w:shd w:val="clear" w:color="auto" w:fill="001930"/>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2" w:lineRule="exact"/>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Reporting Lines</w:t>
            </w:r>
          </w:p>
        </w:tc>
        <w:tc>
          <w:tcPr>
            <w:tcW w:w="1840" w:type="dxa"/>
            <w:tcBorders>
              <w:top w:val="single" w:sz="4" w:space="0" w:color="auto"/>
              <w:left w:val="nil"/>
              <w:right w:val="nil"/>
            </w:tcBorders>
            <w:shd w:val="clear" w:color="auto" w:fill="001930"/>
            <w:tcMar>
              <w:left w:w="0" w:type="dxa"/>
            </w:tcMar>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2" w:lineRule="exact"/>
              <w:ind w:left="8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Reports to</w:t>
            </w:r>
          </w:p>
        </w:tc>
        <w:tc>
          <w:tcPr>
            <w:tcW w:w="4920" w:type="dxa"/>
            <w:tcBorders>
              <w:top w:val="single" w:sz="4" w:space="0" w:color="auto"/>
              <w:left w:val="nil"/>
            </w:tcBorders>
            <w:shd w:val="clear" w:color="auto" w:fill="auto"/>
            <w:tcMar>
              <w:left w:w="0" w:type="dxa"/>
              <w:right w:w="10" w:type="dxa"/>
            </w:tcMar>
            <w:vAlign w:val="bottom"/>
          </w:tcPr>
          <w:p>
            <w:pPr>
              <w:pStyle w:val="Normal"/>
              <w:tabs>
                <w:tab w:val="left" w:pos="1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2" w:lineRule="exact"/>
              <w:ind w:left="10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Commercial Director</w:t>
            </w:r>
          </w:p>
        </w:tc>
      </w:tr>
      <w:tr>
        <w:trPr>
          <w:trHeight w:val="269" w:hRule="atLeast"/>
        </w:trPr>
        <w:tc>
          <w:tcPr>
            <w:tcW w:w="2280" w:type="dxa"/>
            <w:tcBorders>
              <w:right w:val="nil"/>
            </w:tcBorders>
            <w:shd w:val="clear" w:color="auto" w:fill="001930"/>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p>
        </w:tc>
        <w:tc>
          <w:tcPr>
            <w:tcW w:w="1840" w:type="dxa"/>
            <w:tcBorders>
              <w:left w:val="nil"/>
              <w:right w:val="nil"/>
            </w:tcBorders>
            <w:shd w:val="clear" w:color="auto" w:fill="001930"/>
            <w:tcMar>
              <w:left w:w="0" w:type="dxa"/>
            </w:tcMar>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p>
        </w:tc>
        <w:tc>
          <w:tcPr>
            <w:tcW w:w="4920" w:type="dxa"/>
            <w:tcBorders>
              <w:left w:val="nil"/>
            </w:tcBorders>
            <w:shd w:val="clear" w:color="auto" w:fill="auto"/>
            <w:tcMar>
              <w:left w:w="0" w:type="dxa"/>
              <w:right w:w="10" w:type="dxa"/>
            </w:tcMar>
            <w:vAlign w:val="bottom"/>
          </w:tcPr>
          <w:p>
            <w:pPr>
              <w:pStyle w:val="Normal"/>
              <w:tabs>
                <w:tab w:val="left" w:pos="1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0"/>
              <w:rPr>
                <w:rFonts w:ascii="Arial" w:hAnsi="Arial" w:eastAsia="Arial" w:cs="Arial"/>
                <w:b/>
                <w:bCs/>
                <w:sz w:val="22"/>
                <w:szCs w:val="22"/>
                <w:lang w:val="en-GB" w:eastAsia="en-GB" w:bidi="en-GB"/>
              </w:rPr>
            </w:pPr>
          </w:p>
        </w:tc>
      </w:tr>
      <w:tr>
        <w:trPr>
          <w:trHeight w:val="260" w:hRule="atLeast"/>
        </w:trPr>
        <w:tc>
          <w:tcPr>
            <w:tcW w:w="2280" w:type="dxa"/>
            <w:tcBorders>
              <w:top w:val="single" w:sz="4" w:space="0" w:color="auto"/>
              <w:left w:val="nil"/>
              <w:bottom w:val="nil"/>
              <w:right w:val="nil"/>
            </w:tcBorders>
            <w:shd w:val="clear" w:color="auto" w:fill="001930"/>
            <w:tcMar>
              <w:left w:w="0" w:type="dxa"/>
            </w:tcMar>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p>
        </w:tc>
        <w:tc>
          <w:tcPr>
            <w:tcW w:w="1840" w:type="dxa"/>
            <w:tcBorders>
              <w:top w:val="single" w:sz="4" w:space="0" w:color="auto"/>
              <w:left w:val="nil"/>
              <w:bottom w:val="nil"/>
              <w:right w:val="nil"/>
            </w:tcBorders>
            <w:shd w:val="clear" w:color="auto" w:fill="001930"/>
            <w:tcMar>
              <w:left w:w="0" w:type="dxa"/>
            </w:tcMar>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0" w:lineRule="exact"/>
              <w:ind w:left="80"/>
              <w:rPr>
                <w:rFonts w:ascii="Arial" w:hAnsi="Arial" w:eastAsia="Arial" w:cs="Arial"/>
                <w:b/>
                <w:bCs/>
                <w:color w:val="FFFFFF"/>
                <w:sz w:val="22"/>
                <w:szCs w:val="22"/>
                <w:shd w:val="clear" w:color="auto" w:fill="001930"/>
                <w:lang w:val="en-GB" w:eastAsia="en-GB" w:bidi="en-GB"/>
              </w:rPr>
            </w:pPr>
            <w:r>
              <w:rPr>
                <w:rFonts w:ascii="Arial" w:hAnsi="Arial" w:eastAsia="Arial" w:cs="Arial"/>
                <w:b/>
                <w:bCs/>
                <w:color w:val="FFFFFF"/>
                <w:sz w:val="22"/>
                <w:szCs w:val="22"/>
                <w:shd w:val="clear" w:color="auto" w:fill="001930"/>
                <w:lang w:val="en-GB" w:eastAsia="en-GB" w:bidi="en-GB"/>
              </w:rPr>
              <w:t xml:space="preserve">Direct Reports</w:t>
            </w:r>
          </w:p>
        </w:tc>
        <w:tc>
          <w:tcPr>
            <w:tcW w:w="4920" w:type="dxa"/>
            <w:tcBorders>
              <w:top w:val="single" w:sz="4" w:space="0" w:color="auto"/>
              <w:left w:val="nil"/>
            </w:tcBorders>
            <w:shd w:val="clear" w:color="auto" w:fill="auto"/>
            <w:tcMar>
              <w:left w:w="0" w:type="dxa"/>
              <w:right w:w="10" w:type="dxa"/>
            </w:tcMar>
            <w:vAlign w:val="bottom"/>
          </w:tcPr>
          <w:p>
            <w:pPr>
              <w:pStyle w:val="Normal"/>
              <w:tabs>
                <w:tab w:val="left" w:pos="1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0" w:lineRule="exact"/>
              <w:ind w:left="10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N/A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94" w:lineRule="exact"/>
        <w:rPr>
          <w:rFonts w:ascii="Arial" w:hAnsi="Arial" w:eastAsia="Arial" w:cs="Arial"/>
          <w:sz w:val="10"/>
          <w:szCs w:val="1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0"/>
      </w:tblGrid>
      <w:tr>
        <w:tc>
          <w:tcPr>
            <w:tcW w:w="9010" w:type="dxa"/>
            <w:shd w:val="clear" w:color="auto" w:fill="auto"/>
            <w:vAlign w:val="top"/>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Aim of the role</w:t>
            </w: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14"/>
                <w:szCs w:val="14"/>
                <w:lang w:val="en-GB" w:eastAsia="en-GB" w:bidi="en-GB"/>
              </w:rPr>
            </w:pP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To work as part of the wider Commercial team and be responsible for preparing whole development budgets, estimates and cashflows from pre-land purchase to final budget estimate, prior to the handover to the Quantity Surveying and Buying teams. Provide accurate estimates to the Land and Planning department to assist in securing Land/Business opportunities as well as to maximise the cost effectiveness of developments.</w:t>
            </w: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14"/>
                <w:szCs w:val="14"/>
                <w:lang w:val="en-GB" w:eastAsia="en-GB" w:bidi="en-GB"/>
              </w:rPr>
            </w:pP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Responsibilities and Duties</w:t>
            </w: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14"/>
                <w:szCs w:val="14"/>
                <w:lang w:val="en-GB" w:eastAsia="en-GB" w:bidi="en-GB"/>
              </w:rPr>
            </w:pP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Developing strong relationships with external consultants and other specialists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Develop and maintain market awareness on materials and sub-contractor prices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Maintain the database of standard cost allowances, and work closely with the commercial department to ensure cost assumptions are current</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Deliver detailed financial appraisals for new land bids and undertake cost and risk analysis for new sites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Responsible for taking off quantities, procuring competitive quotations, analysing the results and producing finalisation documents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Consider drawings and the employer’s requirements to understand the requirements of the tender documentation</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Once land is purchased ensure that the build cost budget is updated at regular intervals e.g. quarterly to ensure the appraisal remains robust and in line with build cost inflation. Also ensure the budget is updated at key milestones such as planning submission and for start on site budget.</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Consider sub-contract quotes and attendances to incorporate into estimates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Visit site to establish site constraints etc, that may affect pricing strategy</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Be technically competent with a very good understanding of the building process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Analyse and critique all information provided to the Department for cost effectiveness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Explore and present innovative construction techniques to reduce cost</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Value engineer specifications and materials to enhance cost effectiveness</w:t>
            </w:r>
          </w:p>
          <w:p>
            <w:pPr>
              <w:pStyle w:val="ListParagraph"/>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rPr>
                <w:rFonts w:ascii="Arial" w:hAnsi="Arial" w:eastAsia="Arial" w:cs="Arial"/>
                <w:sz w:val="22"/>
                <w:szCs w:val="22"/>
                <w:lang w:val="en-GB" w:eastAsia="en-GB" w:bidi="en-GB"/>
              </w:rPr>
            </w:pP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Knowledge Skills and Experience</w:t>
            </w: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12"/>
                <w:szCs w:val="12"/>
                <w:lang w:val="en-GB" w:eastAsia="en-GB" w:bidi="en-GB"/>
              </w:rPr>
            </w:pP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Ability to use a computerised estimating/measurement system e.g. Bluebeam or equivalent</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Be proficient with Microsoft office packages, in particular Microsoft Excel.</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To be able to read and understand quotations, resolving any conditions or qualifications contained therein</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To be able to read and understand tender documentation (correspondence, drawings, specifications, etc) either in a paper or electronic version, including action as required</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To document, in a neat and meticulous manner, tender costs, outputs and associated information arising from the preparation of the tender</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Good organisational skills together with the ability to prioritise work and work to strict deadlines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detailed knowledge of construction techniques and building regulations.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ability to challenge consultants design where appropriate and offer more cost effective solutions to aid development viability.</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in social housing would be advantageous</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b/>
                <w:bCs/>
                <w:sz w:val="22"/>
                <w:szCs w:val="22"/>
                <w:lang w:val="en-GB" w:eastAsia="en-GB" w:bidi="en-GB"/>
              </w:rPr>
            </w:pPr>
            <w:r>
              <w:rPr>
                <w:rFonts w:ascii="Arial" w:hAnsi="Arial" w:eastAsia="Arial" w:cs="Arial"/>
                <w:sz w:val="22"/>
                <w:szCs w:val="22"/>
                <w:lang w:val="en-GB" w:eastAsia="en-GB" w:bidi="en-GB"/>
              </w:rPr>
              <w:t xml:space="preserve">Ability to confidently communicate with all members of the pre-construction team, directors, clients and consultants both verbally and in written form</w:t>
            </w:r>
          </w:p>
          <w:p>
            <w:pPr>
              <w:pStyle w:val="ListParagraph"/>
              <w:numPr>
                <w:ilvl w:val="0"/>
                <w:numId w:val="1"/>
              </w:numPr>
              <w:tabs>
                <w:tab w:val="left" w:pos="8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4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Individuals with a housing Quantity Surveying background will also be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It would be an advantage to have the following 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BSc (hons) in Quantity Surveying is preferred or HND in Building Studies.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fr-FR" w:eastAsia="fr-FR" w:bidi="fr-FR"/>
              </w:rPr>
            </w:pPr>
            <w:r>
              <w:rPr>
                <w:rFonts w:ascii="Arial" w:hAnsi="Arial" w:eastAsia="Arial" w:cs="Arial"/>
                <w:sz w:val="22"/>
                <w:szCs w:val="22"/>
                <w:lang w:val="fr-FR" w:eastAsia="fr-FR" w:bidi="fr-FR"/>
              </w:rPr>
              <w:t xml:space="preserve">Professional Qualification: e.g. MRICS,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fr-FR" w:eastAsia="fr-FR" w:bidi="fr-FR"/>
              </w:rPr>
            </w:pPr>
            <w:r>
              <w:rPr>
                <w:rFonts w:ascii="Arial" w:hAnsi="Arial" w:eastAsia="Arial" w:cs="Arial"/>
                <w:sz w:val="22"/>
                <w:szCs w:val="22"/>
                <w:lang w:val="fr-FR" w:eastAsia="fr-FR" w:bidi="fr-FR"/>
              </w:rPr>
              <w:t xml:space="preserve">CSCS card</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Attended courses on the following: Presentation Skills and Negotiation skills.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b/>
          <w:bCs/>
          <w:lang w:val="en-GB" w:eastAsia="en-GB" w:bidi="en-GB"/>
        </w:rPr>
      </w:pPr>
      <w:r>
        <w:rPr>
          <w:rFonts w:ascii="Arial" w:hAnsi="Arial" w:eastAsia="Arial" w:cs="Arial"/>
          <w:b/>
          <w:bCs/>
          <w:lang w:val="en-GB" w:eastAsia="en-GB" w:bidi="en-GB"/>
        </w:rPr>
        <w:t xml:space="preserve">untypical Values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These values are integrated into each management competency with values based behaviours that describe how that capability should be demonstrated through observable actions and choices.</w:t>
      </w:r>
    </w:p>
    <w:tbl>
      <w:tblPr>
        <w:tblW w:w="0" w:type="auto"/>
        <w:jc w:val="lef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89"/>
        <w:gridCol w:w="6327"/>
      </w:tblGrid>
      <w:tr>
        <w:tc>
          <w:tcPr>
            <w:tcW w:w="26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b/>
                <w:bCs/>
                <w:lang w:val="en-GB" w:eastAsia="en-GB" w:bidi="en-GB"/>
              </w:rPr>
            </w:pPr>
            <w:r>
              <w:rPr>
                <w:rFonts w:ascii="Arial" w:hAnsi="Arial" w:eastAsia="Arial" w:cs="Arial"/>
                <w:b/>
                <w:bCs/>
                <w:lang w:val="en-GB" w:eastAsia="en-GB" w:bidi="en-GB"/>
              </w:rPr>
              <w:t xml:space="preserve">Value</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b/>
                <w:bCs/>
                <w:lang w:val="en-GB" w:eastAsia="en-GB" w:bidi="en-GB"/>
              </w:rPr>
            </w:pPr>
            <w:r>
              <w:rPr>
                <w:rFonts w:ascii="Arial" w:hAnsi="Arial" w:eastAsia="Arial" w:cs="Arial"/>
                <w:b/>
                <w:bCs/>
                <w:lang w:val="en-GB" w:eastAsia="en-GB" w:bidi="en-GB"/>
              </w:rPr>
              <w:t xml:space="preserve">Definition</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Customer focus</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Every decision we make revolves around delighting our customers (internal and external).</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Passion for building</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We approach every project with pride, quality and accountability.</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Sustainability</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Understanding and reducing our environmental and social footprint by integrating sustainable practice and low-impact materials into our communities.</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Lasting community</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We create communities (internally and externally) with a sense of belonging and a legacy for generations to come.</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Continuous improvement</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Understands the need for innovation and change and positively embraces it.</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Arial" w:hAnsi="Arial" w:eastAsia="Arial" w:cs="Arial"/>
          <w:lang w:val="en-GB" w:eastAsia="en-GB" w:bidi="en-GB"/>
        </w:rPr>
      </w:pPr>
    </w:p>
    <w:sectPr>
      <w:headerReference w:type="default" r:id="rId00008"/>
      <w:footerReference w:type="default" r:id="rId00009"/>
      <w:pgSz w:w="11900" w:h="16838"/>
      <w:pgMar w:top="1440" w:right="1440" w:bottom="1440" w:left="1440" w:header="0" w:footer="0"/>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right" w:pos="9020"/>
        <w:tab w:val="clear" w:pos="9026"/>
      </w:tabs>
      <w:rPr>
        <w:lang w:val="en-GB" w:eastAsia="en-GB" w:bidi="en-GB"/>
      </w:rPr>
    </w:pPr>
    <w:r>
      <w:drawing>
        <wp:anchor distT="0" distB="0" distL="114300" distR="114300" simplePos="0" relativeHeight="251660288" behindDoc="1" locked="0" layoutInCell="1" hidden="0" allowOverlap="1">
          <wp:simplePos x="0" y="0"/>
          <wp:positionH relativeFrom="column">
            <wp:posOffset>-914400</wp:posOffset>
          </wp:positionH>
          <wp:positionV relativeFrom="paragraph">
            <wp:posOffset>0</wp:posOffset>
          </wp:positionV>
          <wp:extent cx="7976235" cy="247650"/>
          <wp:wrapNone/>
          <wp:docPr id="2" name="Picture 8"/>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7976235" cy="247650"/>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right" w:pos="9020"/>
        <w:tab w:val="clear" w:pos="9026"/>
      </w:tabs>
      <w:rPr>
        <w:rStyle w:val="wacimagecontainer"/>
        <w:rFonts w:ascii="Segoe UI" w:hAnsi="Segoe UI" w:eastAsia="Segoe UI" w:cs="Segoe UI"/>
        <w:color w:val="000000"/>
        <w:sz w:val="18"/>
        <w:szCs w:val="18"/>
        <w:shd w:val="clear" w:color="auto" w:fill="FFFFFF"/>
        <w:lang w:val="en-GB" w:eastAsia="en-GB" w:bidi="en-GB"/>
      </w:rPr>
    </w:pPr>
    <w:r>
      <w:rPr>
        <w:rStyle w:val="wacimagecontainer"/>
        <w:rFonts w:ascii="Segoe UI" w:hAnsi="Segoe UI" w:eastAsia="Segoe UI" w:cs="Segoe UI"/>
        <w:color w:val="000000"/>
        <w:sz w:val="18"/>
        <w:szCs w:val="18"/>
        <w:shd w:val="clear" w:color="auto" w:fill="FFFFFF"/>
        <w:lang w:val="en-GB" w:eastAsia="en-GB" w:bidi="en-GB"/>
      </w:rPr>
      <w:softHyphen/>
    </w:r>
  </w:p>
  <w:p>
    <w:pPr>
      <w:pStyle w:val="Header"/>
      <w:tabs>
        <w:tab w:val="right" w:pos="9020"/>
        <w:tab w:val="clear" w:pos="9026"/>
      </w:tabs>
      <w:rPr>
        <w:rStyle w:val="wacimagecontainer"/>
        <w:rFonts w:ascii="Segoe UI" w:hAnsi="Segoe UI" w:eastAsia="Segoe UI" w:cs="Segoe UI"/>
        <w:color w:val="000000"/>
        <w:sz w:val="18"/>
        <w:szCs w:val="18"/>
        <w:shd w:val="clear" w:color="auto" w:fill="FFFFFF"/>
        <w:lang w:val="en-GB" w:eastAsia="en-GB" w:bidi="en-GB"/>
      </w:rPr>
    </w:pPr>
    <w:r>
      <w:drawing>
        <wp:anchor distT="0" distB="0" distL="114300" distR="114300" simplePos="0" relativeHeight="251659264" behindDoc="0" locked="0" layoutInCell="1" hidden="0" allowOverlap="1">
          <wp:simplePos x="0" y="0"/>
          <wp:positionH relativeFrom="column">
            <wp:posOffset>-128905</wp:posOffset>
          </wp:positionH>
          <wp:positionV relativeFrom="paragraph">
            <wp:posOffset>167005</wp:posOffset>
          </wp:positionV>
          <wp:extent cx="5762625" cy="59372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5762625" cy="593725"/>
                  </a:xfrm>
                  <a:prstGeom prst="rect">
                    <a:avLst/>
                  </a:prstGeom>
                </pic:spPr>
              </pic:pic>
            </a:graphicData>
          </a:graphic>
        </wp:anchor>
      </w:drawing>
    </w:r>
  </w:p>
  <w:p>
    <w:pPr>
      <w:pStyle w:val="Header"/>
      <w:tabs>
        <w:tab w:val="right" w:pos="9020"/>
        <w:tab w:val="clear" w:pos="9026"/>
      </w:tabs>
      <w:rPr>
        <w:rStyle w:val="wacimagecontainer"/>
        <w:rFonts w:ascii="Segoe UI" w:hAnsi="Segoe UI" w:eastAsia="Segoe UI" w:cs="Segoe UI"/>
        <w:color w:val="000000"/>
        <w:sz w:val="18"/>
        <w:szCs w:val="18"/>
        <w:shd w:val="clear" w:color="auto" w:fill="FFFFFF"/>
        <w:lang w:val="en-GB" w:eastAsia="en-GB" w:bidi="en-GB"/>
      </w:rPr>
    </w:pPr>
  </w:p>
  <w:p>
    <w:pPr>
      <w:pStyle w:val="Header"/>
      <w:tabs>
        <w:tab w:val="right" w:pos="9020"/>
        <w:tab w:val="clear" w:pos="9026"/>
      </w:tabs>
      <w:rPr>
        <w:color w:val="000000"/>
        <w:shd w:val="clear" w:color="auto" w:fill="FFFFFF"/>
        <w:lang w:val="en-GB" w:eastAsia="en-GB" w:bidi="en-GB"/>
      </w:rPr>
    </w:pPr>
    <w:r>
      <w:rPr>
        <w:color w:val="000000"/>
        <w:shd w:val="clear" w:color="auto" w:fill="FFFFFF"/>
        <w:lang w:val="en-GB" w:eastAsia="en-GB" w:bidi="en-GB"/>
      </w:rPr>
      <w:br w:type="textWrapping"/>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840" w:hanging="360"/>
        <w:tabs>
          <w:tab w:val="num" w:pos="84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isplayBackgroundShape/>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character" w:styleId="wacimagecontainer" w:customStyle="1">
    <w:name w:val="wacimagecontainer"/>
    <w:qFormat/>
    <w:rPr>
      <w:rtl w:val="off"/>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8" Type="http://schemas.openxmlformats.org/officeDocument/2006/relationships/header" Target="header0001.xml"/>
	<Relationship Id="rId00009" Type="http://schemas.openxmlformats.org/officeDocument/2006/relationships/footer" Target="footer0001.xml"/>
	<Relationship Id="rId00010" Type="http://schemas.openxmlformats.org/officeDocument/2006/relationships/numbering" Target="numbering.xml"/>
	<Relationship Id="rId00011" Type="http://schemas.openxmlformats.org/officeDocument/2006/relationships/fontTable" Target="fontTable.xml"/>
	<Relationship Id="rId00012" Type="http://schemas.openxmlformats.org/officeDocument/2006/relationships/settings" Target="settings.xml"/>
</Relationships>
</file>

<file path=word/_rels/footer0001.xml.rels><?xml version="1.0" encoding="UTF-8" standalone="yes"?><Relationships xmlns="http://schemas.openxmlformats.org/package/2006/relationships">
	<Relationship Id="rId00007" Type="http://schemas.openxmlformats.org/officeDocument/2006/relationships/image" Target="media/image0002.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Bailey, Charlotte</dc:creator>
  <dcterms:created xsi:type="dcterms:W3CDTF">2025-09-11T10:57:00Z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0x0101008746A7ADD4312F408E89213199763D79</vt:lpwstr>
  </property>
  <property fmtid="{D5CDD505-2E9C-101B-9397-08002B2CF9AE}" pid="3" name="Order">
    <vt:r8>108000</vt:r8>
  </property>
  <property fmtid="{D5CDD505-2E9C-101B-9397-08002B2CF9AE}" pid="4" name="xd_Signature">
    <vt:bool>false</vt:bool>
  </property>
</Properties>
</file>